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png" ContentType="image/png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spacing w:lineRule="auto" w:after="75" w:line="240" w:before="75"/>
        <w:contextualSpacing w:val="0"/>
        <w:jc w:val="center"/>
        <w:rPr/>
      </w:pPr>
      <w:r w:rsidRPr="00000000" w:rsidR="00000000" w:rsidDel="00000000">
        <w:rPr>
          <w:rFonts w:cs="Calibri" w:hAnsi="Calibri" w:eastAsia="Calibri" w:ascii="Calibri"/>
          <w:b w:val="1"/>
          <w:color w:val="08234f"/>
          <w:sz w:val="48"/>
          <w:rtl w:val="0"/>
        </w:rPr>
        <w:t xml:space="preserve">2014 MotoGP - Italy GP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241"/>
        </w:tabs>
        <w:spacing w:lineRule="auto" w:line="240"/>
        <w:contextualSpacing w:val="0"/>
        <w:jc w:val="center"/>
        <w:rPr/>
      </w:pPr>
      <w:r w:rsidRPr="00000000" w:rsidR="00000000" w:rsidDel="00000000">
        <w:rPr>
          <w:rFonts w:cs="Calibri" w:hAnsi="Calibri" w:eastAsia="Calibri" w:ascii="Calibri"/>
          <w:color w:val="ff0000"/>
          <w:rtl w:val="0"/>
        </w:rPr>
        <w:t xml:space="preserve">Szeretnénk felhívni a figyelmüket arra, hogy az alábbi árlistában a teljes kínálat szerepel, azonban a jegyek időközben elfogyhatnak, ezért amennyiben felmerül a jegyrendelés igénye, kérjük, előtte érdeklődjenek Cégünknél telefonon vagy e-mailben.</w:t>
      </w:r>
    </w:p>
    <w:p w:rsidP="00000000" w:rsidRPr="00000000" w:rsidR="00000000" w:rsidDel="00000000" w:rsidRDefault="00000000">
      <w:pPr>
        <w:tabs>
          <w:tab w:val="left" w:pos="7241"/>
        </w:tabs>
        <w:spacing w:lineRule="auto" w:line="240"/>
        <w:contextualSpacing w:val="0"/>
        <w:jc w:val="center"/>
        <w:rPr/>
      </w:pPr>
      <w:r w:rsidRPr="00000000" w:rsidR="00000000" w:rsidDel="00000000">
        <w:rPr>
          <w:rFonts w:cs="Calibri" w:hAnsi="Calibri" w:eastAsia="Calibri" w:ascii="Calibri"/>
          <w:color w:val="ff0000"/>
          <w:rtl w:val="0"/>
        </w:rPr>
        <w:t xml:space="preserve">Csak a kifizetett jegyek számítanak megrendeltnek, lemondásra a már kifizetett jegyeknél nincs lehetőség.</w:t>
      </w:r>
    </w:p>
    <w:p w:rsidP="00000000" w:rsidRPr="00000000" w:rsidR="00000000" w:rsidDel="00000000" w:rsidRDefault="00000000">
      <w:pPr>
        <w:tabs>
          <w:tab w:val="left" w:pos="7241"/>
        </w:tabs>
        <w:spacing w:lineRule="auto" w:line="240"/>
        <w:contextualSpacing w:val="0"/>
        <w:jc w:val="center"/>
        <w:rPr/>
      </w:pPr>
      <w:r w:rsidRPr="00000000" w:rsidR="00000000" w:rsidDel="00000000">
        <w:rPr>
          <w:rFonts w:cs="Calibri" w:hAnsi="Calibri" w:eastAsia="Calibri" w:ascii="Calibri"/>
          <w:color w:val="ff0000"/>
          <w:rtl w:val="0"/>
        </w:rPr>
        <w:t xml:space="preserve">Megértésüket előre is köszönjük!</w:t>
      </w:r>
    </w:p>
    <w:p w:rsidP="00000000" w:rsidRPr="00000000" w:rsidR="00000000" w:rsidDel="00000000" w:rsidRDefault="00000000">
      <w:pPr>
        <w:tabs>
          <w:tab w:val="left" w:pos="7241"/>
        </w:tabs>
        <w:spacing w:lineRule="auto" w:line="240"/>
        <w:contextualSpacing w:val="0"/>
        <w:rPr/>
      </w:pPr>
      <w:r w:rsidRPr="00000000" w:rsidR="00000000" w:rsidDel="00000000">
        <w:rPr>
          <w:rtl w:val="0"/>
        </w:rPr>
      </w:r>
    </w:p>
    <w:tbl>
      <w:tblPr>
        <w:tblStyle w:val="KixTable1"/>
        <w:bidiVisual w:val="0"/>
        <w:tblW w:w="8589.0" w:type="dxa"/>
        <w:jc w:val="left"/>
        <w:tblInd w:w="771.0" w:type="dxa"/>
        <w:tblLayout w:type="fixed"/>
        <w:tblLook w:val="0600"/>
      </w:tblPr>
      <w:tblGrid>
        <w:gridCol w:w="6660"/>
        <w:gridCol w:w="1500"/>
        <w:gridCol w:w="-429"/>
        <w:gridCol w:w="-429"/>
        <w:gridCol w:w="-429"/>
      </w:tblGrid>
      <w:tr>
        <w:trPr>
          <w:trHeight w:val="920" w:hRule="atLeast"/>
        </w:trPr>
        <w:tc>
          <w:tcPr>
            <w:tcMar>
              <w:left w:w="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line="240"/>
              <w:ind w:left="-764" w:firstLine="0" w:right="-1934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rtl w:val="0"/>
              </w:rPr>
              <w:t xml:space="preserve">MOTOGP </w:t>
            </w:r>
            <w:r w:rsidRPr="00000000" w:rsidR="00000000" w:rsidDel="00000000">
              <w:drawing>
                <wp:inline distR="114300" distT="114300" distB="114300" distL="114300">
                  <wp:extent cy="152400" cx="228600"/>
                  <wp:effectExtent t="0" b="0" r="0" l="0"/>
                  <wp:docPr id="1" name="image01.gif"/>
                  <a:graphic>
                    <a:graphicData uri="http://schemas.openxmlformats.org/drawingml/2006/picture">
                      <pic:pic>
                        <pic:nvPicPr>
                          <pic:cNvPr id="0" name="image01.gif"/>
                          <pic:cNvPicPr preferRelativeResize="0"/>
                        </pic:nvPicPr>
                        <pic:blipFill>
                          <a:blip r:embed="rId5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ext cy="152400" cx="228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rtl w:val="0"/>
              </w:rPr>
              <w:t xml:space="preserve"> Italian Grand Prix </w:t>
            </w:r>
          </w:p>
          <w:p w:rsidP="00000000" w:rsidRPr="00000000" w:rsidR="00000000" w:rsidDel="00000000" w:rsidRDefault="00000000">
            <w:pPr>
              <w:spacing w:lineRule="auto" w:line="240"/>
              <w:ind w:left="-764" w:firstLine="0" w:right="-1934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rtl w:val="0"/>
              </w:rPr>
              <w:t xml:space="preserve">Mugello 30.05. - 01.06.2014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  <w:rPr/>
      </w:pPr>
      <w:r w:rsidRPr="00000000" w:rsidR="00000000" w:rsidDel="00000000">
        <w:rPr>
          <w:rtl w:val="0"/>
        </w:rPr>
      </w:r>
    </w:p>
    <w:tbl>
      <w:tblPr>
        <w:tblStyle w:val="KixTable2"/>
        <w:bidiVisual w:val="0"/>
        <w:tblW w:w="9360.0" w:type="dxa"/>
        <w:jc w:val="left"/>
        <w:tblBorders>
          <w:top w:color="000000" w:space="0" w:val="nil" w:sz="0"/>
          <w:left w:color="000000" w:space="0" w:val="nil" w:sz="0"/>
          <w:bottom w:color="000000" w:space="0" w:val="nil" w:sz="0"/>
          <w:right w:color="000000" w:space="0" w:val="nil" w:sz="0"/>
          <w:insideH w:color="000000" w:space="0" w:val="nil" w:sz="0"/>
          <w:insideV w:color="000000" w:space="0" w:val="nil" w:sz="0"/>
        </w:tblBorders>
        <w:tblLayout w:type="fixed"/>
        <w:tblLook w:val="0600"/>
      </w:tblPr>
      <w:tblGrid>
        <w:gridCol w:w="1639"/>
        <w:gridCol w:w="5434"/>
        <w:gridCol w:w="2287"/>
      </w:tblGrid>
      <w:tr>
        <w:tc>
          <w:tcPr>
            <w:shd w:fill="d6ab29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hd w:val="clear" w:fill="d6ab29"/>
                <w:rtl w:val="0"/>
              </w:rPr>
              <w:t xml:space="preserve">VIP</w:t>
            </w:r>
          </w:p>
        </w:tc>
        <w:tc>
          <w:tcPr>
            <w:shd w:fill="d6ab29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hd w:val="clear" w:fill="d6ab29"/>
                <w:rtl w:val="0"/>
              </w:rPr>
              <w:t xml:space="preserve">Saturday&amp;Sunday</w:t>
            </w:r>
          </w:p>
        </w:tc>
        <w:tc>
          <w:tcPr>
            <w:shd w:fill="d6ab29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hd w:val="clear" w:fill="d6ab29"/>
                <w:rtl w:val="0"/>
              </w:rPr>
              <w:t xml:space="preserve">Sunday</w:t>
            </w:r>
          </w:p>
        </w:tc>
      </w:tr>
      <w:tr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Gold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 € 450,-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€ 345,-</w:t>
            </w:r>
          </w:p>
        </w:tc>
      </w:tr>
      <w:t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Platinum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€ 715,-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€ 575,-</w:t>
            </w:r>
          </w:p>
        </w:tc>
      </w:tr>
    </w:tbl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ahoma" w:hAnsi="Tahoma" w:eastAsia="Tahoma" w:ascii="Tahoma"/>
          <w:color w:val="ee0000"/>
          <w:sz w:val="18"/>
          <w:rtl w:val="0"/>
        </w:rPr>
        <w:t xml:space="preserve">  </w:t>
      </w:r>
      <w:r w:rsidRPr="00000000" w:rsidR="00000000" w:rsidDel="00000000">
        <w:rPr>
          <w:rFonts w:cs="Tahoma" w:hAnsi="Tahoma" w:eastAsia="Tahoma" w:ascii="Tahoma"/>
          <w:sz w:val="18"/>
          <w:rtl w:val="0"/>
        </w:rPr>
        <w:t xml:space="preserve"> </w:t>
      </w:r>
      <w:r w:rsidRPr="00000000" w:rsidR="00000000" w:rsidDel="00000000">
        <w:rPr>
          <w:rFonts w:cs="Tahoma" w:hAnsi="Tahoma" w:eastAsia="Tahoma" w:ascii="Tahoma"/>
          <w:color w:val="ee0000"/>
          <w:sz w:val="18"/>
          <w:rtl w:val="0"/>
        </w:rPr>
        <w:t xml:space="preserve"> </w:t>
      </w:r>
    </w:p>
    <w:tbl>
      <w:tblPr>
        <w:tblStyle w:val="KixTable3"/>
        <w:bidiVisual w:val="0"/>
        <w:tblW w:w="9360.0" w:type="dxa"/>
        <w:jc w:val="left"/>
        <w:tblBorders>
          <w:top w:color="000000" w:space="0" w:val="nil" w:sz="0"/>
          <w:left w:color="000000" w:space="0" w:val="nil" w:sz="0"/>
          <w:bottom w:color="000000" w:space="0" w:val="nil" w:sz="0"/>
          <w:right w:color="000000" w:space="0" w:val="nil" w:sz="0"/>
          <w:insideH w:color="000000" w:space="0" w:val="nil" w:sz="0"/>
          <w:insideV w:color="000000" w:space="0" w:val="nil" w:sz="0"/>
        </w:tblBorders>
        <w:tblLayout w:type="fixed"/>
        <w:tblLook w:val="0600"/>
      </w:tblPr>
      <w:tblGrid>
        <w:gridCol w:w="4825"/>
        <w:gridCol w:w="912"/>
        <w:gridCol w:w="3622"/>
      </w:tblGrid>
      <w:tr>
        <w:tc>
          <w:tcPr>
            <w:shd w:fill="003464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ffffff"/>
                <w:sz w:val="18"/>
                <w:shd w:val="clear" w:fill="003464"/>
                <w:rtl w:val="0"/>
              </w:rPr>
              <w:t xml:space="preserve">3 DAYS TICKET</w:t>
            </w:r>
          </w:p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ffffff"/>
                <w:sz w:val="18"/>
                <w:shd w:val="clear" w:fill="003464"/>
                <w:rtl w:val="0"/>
              </w:rPr>
              <w:t xml:space="preserve">(Friday, Saturday &amp; Sunday)</w:t>
            </w:r>
          </w:p>
        </w:tc>
        <w:tc>
          <w:tcPr>
            <w:shd w:fill="003464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after="20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003464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ffffff"/>
                <w:sz w:val="18"/>
                <w:shd w:val="clear" w:fill="003464"/>
                <w:rtl w:val="0"/>
              </w:rPr>
              <w:t xml:space="preserve">Price after 01/05/14</w:t>
            </w:r>
          </w:p>
        </w:tc>
      </w:tr>
      <w:tr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after="20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Tribüne Centrale “Silver Box” </w:t>
            </w:r>
          </w:p>
          <w:p w:rsidP="00000000" w:rsidRPr="00000000" w:rsidR="00000000" w:rsidDel="00000000" w:rsidRDefault="00000000">
            <w:pPr>
              <w:widowControl w:val="0"/>
              <w:spacing w:lineRule="auto" w:after="20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(Reihen 14 - 16)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C+TV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color w:val="ee0000"/>
                <w:sz w:val="18"/>
                <w:shd w:val="clear" w:fill="dfdfdf"/>
                <w:rtl w:val="0"/>
              </w:rPr>
              <w:t xml:space="preserve">€ 420,-</w:t>
            </w:r>
          </w:p>
        </w:tc>
      </w:tr>
      <w:t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Tribüne Centrale “Silver Box”  </w:t>
            </w:r>
          </w:p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(Reihen 14 - 16) Child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C+TV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color w:val="ee0000"/>
                <w:sz w:val="18"/>
                <w:highlight w:val="white"/>
                <w:rtl w:val="0"/>
              </w:rPr>
              <w:t xml:space="preserve">€ 336,-</w:t>
            </w:r>
          </w:p>
        </w:tc>
      </w:tr>
      <w:tr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Tribüne “Silver Biondetti”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C+TV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color w:val="ee0000"/>
                <w:sz w:val="18"/>
                <w:shd w:val="clear" w:fill="dfdfdf"/>
                <w:rtl w:val="0"/>
              </w:rPr>
              <w:t xml:space="preserve">€ 384,-</w:t>
            </w:r>
          </w:p>
        </w:tc>
      </w:tr>
      <w:t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Tribüne “Silver Biondetti” Child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C+TV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color w:val="ee0000"/>
                <w:sz w:val="18"/>
                <w:highlight w:val="white"/>
                <w:rtl w:val="0"/>
              </w:rPr>
              <w:t xml:space="preserve">€ 307,-</w:t>
            </w:r>
          </w:p>
        </w:tc>
      </w:tr>
      <w:tr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Tribüne Centrale “Bronze” </w:t>
            </w:r>
          </w:p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(Reihen 1 - 13)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C+TV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€ 324,-</w:t>
            </w:r>
          </w:p>
        </w:tc>
      </w:tr>
      <w:t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Tribüne Centrale “Bronze”</w:t>
            </w:r>
          </w:p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(Reihen 1 - 13) Child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C+TV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€ 259,-</w:t>
            </w:r>
          </w:p>
        </w:tc>
      </w:tr>
      <w:tr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Poggio Secco Stand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TV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€ 264,-</w:t>
            </w:r>
          </w:p>
        </w:tc>
      </w:tr>
      <w:t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Poggio Secco Stand Child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TV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€ 211,-</w:t>
            </w:r>
          </w:p>
        </w:tc>
      </w:tr>
      <w:tr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Materassi Stand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TV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color w:val="ee0000"/>
                <w:sz w:val="18"/>
                <w:shd w:val="clear" w:fill="dfdfdf"/>
                <w:rtl w:val="0"/>
              </w:rPr>
              <w:t xml:space="preserve">€ 300,-</w:t>
            </w:r>
          </w:p>
        </w:tc>
      </w:tr>
      <w:t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Materassi Stand Child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TV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color w:val="ee0000"/>
                <w:sz w:val="18"/>
                <w:highlight w:val="white"/>
                <w:rtl w:val="0"/>
              </w:rPr>
              <w:t xml:space="preserve">€ 240,-</w:t>
            </w:r>
          </w:p>
        </w:tc>
      </w:tr>
      <w:tr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Stehplatz (Prato)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TV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€ 192,-</w:t>
            </w:r>
          </w:p>
        </w:tc>
      </w:tr>
      <w:t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Stehplatz Junior (Prato Junior)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TV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€ 150,-</w:t>
            </w:r>
          </w:p>
        </w:tc>
      </w:tr>
      <w:tr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Wohnmobil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after="20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€ 108,-</w:t>
            </w:r>
          </w:p>
        </w:tc>
      </w:tr>
    </w:tbl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</w:t>
      </w:r>
    </w:p>
    <w:tbl>
      <w:tblPr>
        <w:tblStyle w:val="KixTable4"/>
        <w:bidiVisual w:val="0"/>
        <w:tblW w:w="9360.0" w:type="dxa"/>
        <w:jc w:val="left"/>
        <w:tblBorders>
          <w:top w:color="000000" w:space="0" w:val="nil" w:sz="0"/>
          <w:left w:color="000000" w:space="0" w:val="nil" w:sz="0"/>
          <w:bottom w:color="000000" w:space="0" w:val="nil" w:sz="0"/>
          <w:right w:color="000000" w:space="0" w:val="nil" w:sz="0"/>
          <w:insideH w:color="000000" w:space="0" w:val="nil" w:sz="0"/>
          <w:insideV w:color="000000" w:space="0" w:val="nil" w:sz="0"/>
        </w:tblBorders>
        <w:tblLayout w:type="fixed"/>
        <w:tblLook w:val="0600"/>
      </w:tblPr>
      <w:tblGrid>
        <w:gridCol w:w="4733"/>
        <w:gridCol w:w="925"/>
        <w:gridCol w:w="3702"/>
      </w:tblGrid>
      <w:tr>
        <w:tc>
          <w:tcPr>
            <w:shd w:fill="003464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ffffff"/>
                <w:sz w:val="18"/>
                <w:shd w:val="clear" w:fill="003464"/>
                <w:rtl w:val="0"/>
              </w:rPr>
              <w:t xml:space="preserve">2 DAYS TICKET </w:t>
            </w:r>
          </w:p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ffffff"/>
                <w:sz w:val="18"/>
                <w:shd w:val="clear" w:fill="003464"/>
                <w:rtl w:val="0"/>
              </w:rPr>
              <w:t xml:space="preserve">(Saturday &amp; Sunday)</w:t>
            </w:r>
          </w:p>
        </w:tc>
        <w:tc>
          <w:tcPr>
            <w:shd w:fill="003464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after="20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003464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ffffff"/>
                <w:sz w:val="18"/>
                <w:shd w:val="clear" w:fill="003464"/>
                <w:rtl w:val="0"/>
              </w:rPr>
              <w:t xml:space="preserve">Price after 01/05/14</w:t>
            </w:r>
          </w:p>
        </w:tc>
      </w:tr>
      <w:tr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Tribüne Centrale “Silver Box”</w:t>
            </w:r>
          </w:p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(Reihen 14 - 16)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C+TV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color w:val="ee0000"/>
                <w:sz w:val="18"/>
                <w:shd w:val="clear" w:fill="dfdfdf"/>
                <w:rtl w:val="0"/>
              </w:rPr>
              <w:t xml:space="preserve">€ 396,-</w:t>
            </w:r>
          </w:p>
        </w:tc>
      </w:tr>
      <w:t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Tribüne Centrale “Silver Box” </w:t>
            </w:r>
          </w:p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(Reihen 14 - 16) Child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C+TV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color w:val="ee0000"/>
                <w:sz w:val="18"/>
                <w:highlight w:val="white"/>
                <w:rtl w:val="0"/>
              </w:rPr>
              <w:t xml:space="preserve">€ 317,-</w:t>
            </w:r>
          </w:p>
        </w:tc>
      </w:tr>
      <w:tr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Tribüne “Silver Biondetti”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C+TV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color w:val="ee0000"/>
                <w:sz w:val="18"/>
                <w:shd w:val="clear" w:fill="dfdfdf"/>
                <w:rtl w:val="0"/>
              </w:rPr>
              <w:t xml:space="preserve">€ 348,-</w:t>
            </w:r>
          </w:p>
        </w:tc>
      </w:tr>
      <w:t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Tribüne “Silver Biondetti” Child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C+TV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color w:val="ee0000"/>
                <w:sz w:val="18"/>
                <w:highlight w:val="white"/>
                <w:rtl w:val="0"/>
              </w:rPr>
              <w:t xml:space="preserve">€ 278,-</w:t>
            </w:r>
          </w:p>
        </w:tc>
      </w:tr>
      <w:tr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Tribüne Centrale “Bronze” </w:t>
            </w:r>
          </w:p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(Reihen 1 - 13)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C+TV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€ 300,-</w:t>
            </w:r>
          </w:p>
        </w:tc>
      </w:tr>
      <w:t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Tribüne Centrale “Bronze” </w:t>
            </w:r>
          </w:p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(Reihen 1 - 13) Child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C+TV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€ 240,-</w:t>
            </w:r>
          </w:p>
        </w:tc>
      </w:tr>
      <w:tr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Poggio Secco Stand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TV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€ 240,-</w:t>
            </w:r>
          </w:p>
        </w:tc>
      </w:tr>
      <w:t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Poggio Secco Stand Child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TV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€ 192,-</w:t>
            </w:r>
          </w:p>
        </w:tc>
      </w:tr>
      <w:tr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Materassi Stand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TV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color w:val="ee0000"/>
                <w:sz w:val="18"/>
                <w:shd w:val="clear" w:fill="dfdfdf"/>
                <w:rtl w:val="0"/>
              </w:rPr>
              <w:t xml:space="preserve">€ 264,-</w:t>
            </w:r>
          </w:p>
        </w:tc>
      </w:tr>
      <w:t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Materassi Stand Child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TV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color w:val="ee0000"/>
                <w:sz w:val="18"/>
                <w:highlight w:val="white"/>
                <w:rtl w:val="0"/>
              </w:rPr>
              <w:t xml:space="preserve">€ 211,-</w:t>
            </w:r>
          </w:p>
        </w:tc>
      </w:tr>
      <w:tr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Stehplatz (Prato)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TV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€ 162,-</w:t>
            </w:r>
          </w:p>
        </w:tc>
      </w:tr>
      <w:t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Stehplatz Junior (Prato Junior)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TV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€ 126,-</w:t>
            </w:r>
          </w:p>
        </w:tc>
      </w:tr>
    </w:tbl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</w:t>
      </w:r>
    </w:p>
    <w:tbl>
      <w:tblPr>
        <w:tblStyle w:val="KixTable5"/>
        <w:bidiVisual w:val="0"/>
        <w:tblW w:w="9360.0" w:type="dxa"/>
        <w:jc w:val="left"/>
        <w:tblBorders>
          <w:top w:color="000000" w:space="0" w:val="nil" w:sz="0"/>
          <w:left w:color="000000" w:space="0" w:val="nil" w:sz="0"/>
          <w:bottom w:color="000000" w:space="0" w:val="nil" w:sz="0"/>
          <w:right w:color="000000" w:space="0" w:val="nil" w:sz="0"/>
          <w:insideH w:color="000000" w:space="0" w:val="nil" w:sz="0"/>
          <w:insideV w:color="000000" w:space="0" w:val="nil" w:sz="0"/>
        </w:tblBorders>
        <w:tblLayout w:type="fixed"/>
        <w:tblLook w:val="0600"/>
      </w:tblPr>
      <w:tblGrid>
        <w:gridCol w:w="4733"/>
        <w:gridCol w:w="925"/>
        <w:gridCol w:w="3702"/>
      </w:tblGrid>
      <w:tr>
        <w:tc>
          <w:tcPr>
            <w:shd w:fill="003464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ffffff"/>
                <w:sz w:val="18"/>
                <w:shd w:val="clear" w:fill="003464"/>
                <w:rtl w:val="0"/>
              </w:rPr>
              <w:t xml:space="preserve">{SUNDAY}</w:t>
            </w:r>
          </w:p>
        </w:tc>
        <w:tc>
          <w:tcPr>
            <w:shd w:fill="003464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after="20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003464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ffffff"/>
                <w:sz w:val="18"/>
                <w:shd w:val="clear" w:fill="003464"/>
                <w:rtl w:val="0"/>
              </w:rPr>
              <w:t xml:space="preserve">Price after 01/05/14</w:t>
            </w:r>
          </w:p>
        </w:tc>
      </w:tr>
      <w:tr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Tribüne Centrale “Silver Box” </w:t>
            </w:r>
          </w:p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(Reihen 14 - 16)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C+TV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color w:val="ee0000"/>
                <w:sz w:val="18"/>
                <w:shd w:val="clear" w:fill="dfdfdf"/>
                <w:rtl w:val="0"/>
              </w:rPr>
              <w:t xml:space="preserve">€ 300,-</w:t>
            </w:r>
          </w:p>
        </w:tc>
      </w:tr>
      <w:t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Tribüne Centrale “Silver Box” </w:t>
            </w:r>
          </w:p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(Reihen 14 - 16) Child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C+TV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color w:val="ee0000"/>
                <w:sz w:val="18"/>
                <w:highlight w:val="white"/>
                <w:rtl w:val="0"/>
              </w:rPr>
              <w:t xml:space="preserve">€ 240,-</w:t>
            </w:r>
          </w:p>
        </w:tc>
      </w:tr>
      <w:tr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Tribüne “Silver Biondetti”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C+TV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color w:val="ee0000"/>
                <w:sz w:val="18"/>
                <w:shd w:val="clear" w:fill="dfdfdf"/>
                <w:rtl w:val="0"/>
              </w:rPr>
              <w:t xml:space="preserve">€ 276,-</w:t>
            </w:r>
          </w:p>
        </w:tc>
      </w:tr>
      <w:t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Tribüne “Silver Biondetti” Child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C+TV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color w:val="ee0000"/>
                <w:sz w:val="18"/>
                <w:highlight w:val="white"/>
                <w:rtl w:val="0"/>
              </w:rPr>
              <w:t xml:space="preserve">€ 221,-</w:t>
            </w:r>
          </w:p>
        </w:tc>
      </w:tr>
      <w:tr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Tribüne Centrale “Bronze” </w:t>
            </w:r>
          </w:p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(Reihen 1 - 13)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C+TV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€ 216,-</w:t>
            </w:r>
          </w:p>
        </w:tc>
      </w:tr>
      <w:t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Central Stand “Bronze” </w:t>
            </w:r>
          </w:p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(Reihen 1 - 13) Child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after="20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€ 173,-</w:t>
            </w:r>
          </w:p>
        </w:tc>
      </w:tr>
      <w:tr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Poggio Secco Stand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TV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€ 180,-</w:t>
            </w:r>
          </w:p>
        </w:tc>
      </w:tr>
      <w:t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Poggio Secco Stand Child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TV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€ 144,-</w:t>
            </w:r>
          </w:p>
        </w:tc>
      </w:tr>
      <w:tr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Materassi Stand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TV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color w:val="ee0000"/>
                <w:sz w:val="18"/>
                <w:shd w:val="clear" w:fill="dfdfdf"/>
                <w:rtl w:val="0"/>
              </w:rPr>
              <w:t xml:space="preserve">€ 210,-</w:t>
            </w:r>
          </w:p>
        </w:tc>
      </w:tr>
      <w:t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Materassi Stand Child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TV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color w:val="ee0000"/>
                <w:sz w:val="18"/>
                <w:highlight w:val="white"/>
                <w:rtl w:val="0"/>
              </w:rPr>
              <w:t xml:space="preserve">€ 168,-</w:t>
            </w:r>
          </w:p>
        </w:tc>
      </w:tr>
      <w:tr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Tribüne “58”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TV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€ 192,-</w:t>
            </w:r>
          </w:p>
        </w:tc>
      </w:tr>
      <w:t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Tribüne “58” Child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TV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€ 154,-</w:t>
            </w:r>
          </w:p>
        </w:tc>
      </w:tr>
      <w:tr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Stehplatz (Prato)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TV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€ 108,-</w:t>
            </w:r>
          </w:p>
        </w:tc>
      </w:tr>
      <w:tr>
        <w:tc>
          <w:tcPr>
            <w:shd w:fill="afbfc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afbfcf"/>
                <w:rtl w:val="0"/>
              </w:rPr>
              <w:t xml:space="preserve">Stehplatz Junior (Prato Junior)</w:t>
            </w:r>
          </w:p>
        </w:tc>
        <w:tc>
          <w:tcPr>
            <w:shd w:fill="afbfc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afbfcf"/>
                <w:rtl w:val="0"/>
              </w:rPr>
              <w:t xml:space="preserve">TV</w:t>
            </w:r>
          </w:p>
        </w:tc>
        <w:tc>
          <w:tcPr>
            <w:shd w:fill="afbfc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afbfcf"/>
                <w:rtl w:val="0"/>
              </w:rPr>
              <w:t xml:space="preserve">€ 84,-</w:t>
            </w:r>
          </w:p>
        </w:tc>
      </w:tr>
    </w:tbl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  <w:rPr/>
      </w:pPr>
      <w:r w:rsidRPr="00000000" w:rsidR="00000000" w:rsidDel="00000000">
        <w:drawing>
          <wp:inline distR="114300" distT="114300" distB="114300" distL="114300">
            <wp:extent cy="6998980" cx="5786438"/>
            <wp:effectExtent t="0" b="0" r="0" l="0"/>
            <wp:docPr id="3" name="image02.png"/>
            <a:graphic>
              <a:graphicData uri="http://schemas.openxmlformats.org/drawingml/2006/picture">
                <pic:pic>
                  <pic:nvPicPr>
                    <pic:cNvPr id="0" name="image02.png"/>
                    <pic:cNvPicPr preferRelativeResize="0"/>
                  </pic:nvPicPr>
                  <pic:blipFill>
                    <a:blip r:embed="rId6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6998980" cx="57864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sectPr>
      <w:headerReference r:id="rId7" w:type="default"/>
      <w:footerReference r:id="rId8" w:type="default"/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Trebuchet MS"/>
  <w:font w:name="Tahoma"/>
  <w:font w:name="Calibri"/>
  <w:font w:name="Domine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Pr="00000000" w:rsidR="00000000" w:rsidDel="00000000" w:rsidRDefault="00000000">
    <w:pPr>
      <w:tabs>
        <w:tab w:val="center" w:pos="4536"/>
        <w:tab w:val="right" w:pos="9072"/>
      </w:tabs>
      <w:spacing w:lineRule="auto" w:line="240"/>
      <w:contextualSpacing w:val="0"/>
      <w:jc w:val="center"/>
      <w:rPr/>
    </w:pPr>
    <w:r w:rsidRPr="00000000" w:rsidR="00000000" w:rsidDel="00000000">
      <w:rPr>
        <w:rFonts w:cs="Domine" w:hAnsi="Domine" w:eastAsia="Domine" w:ascii="Domine"/>
        <w:sz w:val="18"/>
        <w:rtl w:val="0"/>
      </w:rPr>
      <w:t xml:space="preserve">Sasu Mária - New &amp; Hit Kft -  Bukarest utca 8-10, 1114, Budapest, Hungary</w:t>
    </w:r>
  </w:p>
  <w:p w:rsidP="00000000" w:rsidRPr="00000000" w:rsidR="00000000" w:rsidDel="00000000" w:rsidRDefault="00000000">
    <w:pPr>
      <w:tabs>
        <w:tab w:val="center" w:pos="4536"/>
        <w:tab w:val="right" w:pos="9072"/>
      </w:tabs>
      <w:spacing w:lineRule="auto" w:line="240"/>
      <w:contextualSpacing w:val="0"/>
      <w:jc w:val="center"/>
      <w:rPr/>
    </w:pPr>
    <w:r w:rsidRPr="00000000" w:rsidR="00000000" w:rsidDel="00000000">
      <w:rPr>
        <w:rFonts w:cs="Domine" w:hAnsi="Domine" w:eastAsia="Domine" w:ascii="Domine"/>
        <w:sz w:val="18"/>
        <w:rtl w:val="0"/>
      </w:rPr>
      <w:t xml:space="preserve">Tel:00 36 30 9821 200</w:t>
    </w:r>
  </w:p>
  <w:p w:rsidP="00000000" w:rsidRPr="00000000" w:rsidR="00000000" w:rsidDel="00000000" w:rsidRDefault="00000000">
    <w:pPr>
      <w:tabs>
        <w:tab w:val="center" w:pos="4536"/>
        <w:tab w:val="right" w:pos="9072"/>
      </w:tabs>
      <w:spacing w:lineRule="auto" w:line="240"/>
      <w:contextualSpacing w:val="0"/>
      <w:jc w:val="center"/>
      <w:rPr/>
    </w:pPr>
    <w:r w:rsidRPr="00000000" w:rsidR="00000000" w:rsidDel="00000000">
      <w:rPr>
        <w:rFonts w:cs="Domine" w:hAnsi="Domine" w:eastAsia="Domine" w:ascii="Domine"/>
        <w:sz w:val="18"/>
        <w:rtl w:val="0"/>
      </w:rPr>
      <w:t xml:space="preserve">E-mail: newhit@t-online.hu</w:t>
    </w:r>
  </w:p>
  <w:p w:rsidP="00000000" w:rsidRPr="00000000" w:rsidR="00000000" w:rsidDel="00000000" w:rsidRDefault="00000000">
    <w:pPr>
      <w:tabs>
        <w:tab w:val="center" w:pos="4536"/>
        <w:tab w:val="right" w:pos="9072"/>
      </w:tabs>
      <w:spacing w:lineRule="auto" w:line="240"/>
      <w:contextualSpacing w:val="0"/>
      <w:jc w:val="center"/>
      <w:rPr/>
    </w:pPr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tabs>
        <w:tab w:val="center" w:pos="4536"/>
        <w:tab w:val="right" w:pos="9072"/>
      </w:tabs>
      <w:spacing w:lineRule="auto" w:line="240"/>
      <w:contextualSpacing w:val="0"/>
      <w:jc w:val="center"/>
      <w:rPr/>
    </w:pPr>
    <w:r w:rsidRPr="00000000" w:rsidR="00000000" w:rsidDel="00000000">
      <w:rPr>
        <w:rFonts w:cs="Domine" w:hAnsi="Domine" w:eastAsia="Domine" w:ascii="Domine"/>
        <w:sz w:val="28"/>
        <w:rtl w:val="0"/>
      </w:rPr>
      <w:t xml:space="preserve">www.newhit.hu</w:t>
    </w:r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contextualSpacing w:val="0"/>
    </w:pPr>
    <w:r w:rsidRPr="00000000" w:rsidR="00000000" w:rsidDel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Pr="00000000" w:rsidR="00000000" w:rsidDel="00000000" w:rsidRDefault="00000000">
    <w:pPr>
      <w:contextualSpacing w:val="0"/>
      <w:jc w:val="center"/>
    </w:pPr>
    <w:r w:rsidRPr="00000000" w:rsidR="00000000" w:rsidDel="00000000">
      <w:drawing>
        <wp:inline distR="0" distT="0" distB="0" distL="0">
          <wp:extent cy="802947" cx="2708842"/>
          <wp:effectExtent t="0" b="0" r="0" l="0"/>
          <wp:docPr id="2" name="image00.jpg"/>
          <a:graphic>
            <a:graphicData uri="http://schemas.openxmlformats.org/drawingml/2006/picture">
              <pic:pic>
                <pic:nvPicPr>
                  <pic:cNvPr id="0" name="image00.jpg"/>
                  <pic:cNvPicPr preferRelativeResize="0"/>
                </pic:nvPicPr>
                <pic:blipFill>
                  <a:blip r:embed="rId1"/>
                  <a:srcRect t="0" b="0" r="0" l="0"/>
                  <a:stretch>
                    <a:fillRect/>
                  </a:stretch>
                </pic:blipFill>
                <pic:spPr>
                  <a:xfrm>
                    <a:ext cy="802947" cx="2708842"/>
                  </a:xfrm>
                  <a:prstGeom prst="rect"/>
                  <a:ln/>
                </pic:spPr>
              </pic:pic>
            </a:graphicData>
          </a:graphic>
        </wp:inline>
      </w:drawing>
    </w:r>
    <w:r w:rsidRPr="00000000" w:rsidR="00000000" w:rsidDel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  <w:style w:styleId="KixTable1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KixTable2" w:type="table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KixTable3" w:type="table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KixTable4" w:type="table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KixTable5" w:type="table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edia/image02.png" Type="http://schemas.openxmlformats.org/officeDocument/2006/relationships/image" Id="rId6"/><Relationship Target="media/image01.gif" Type="http://schemas.openxmlformats.org/officeDocument/2006/relationships/image" Id="rId5"/><Relationship Target="footer1.xml" Type="http://schemas.openxmlformats.org/officeDocument/2006/relationships/footer" Id="rId8"/><Relationship Target="header1.xml" Type="http://schemas.openxmlformats.org/officeDocument/2006/relationships/header" Id="rId7"/></Relationships>
</file>

<file path=word/_rels/header1.xml.rels><?xml version="1.0" encoding="UTF-8" standalone="yes"?><Relationships xmlns="http://schemas.openxmlformats.org/package/2006/relationships"><Relationship Target="media/image00.jpg" Type="http://schemas.openxmlformats.org/officeDocument/2006/relationships/image" Id="rId1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gpitaly.docx</dc:title>
</cp:coreProperties>
</file>